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88" w:rsidRDefault="007A4083">
      <w:pPr>
        <w:rPr>
          <w:b/>
          <w:color w:val="000000"/>
        </w:rPr>
      </w:pPr>
      <w:r>
        <w:rPr>
          <w:b/>
          <w:color w:val="000000"/>
        </w:rPr>
        <w:t xml:space="preserve">Guidance note for GBV Guidelines Reference Group member agencies:  </w:t>
      </w:r>
    </w:p>
    <w:p w:rsidR="00B02888" w:rsidRDefault="007A4083">
      <w:pPr>
        <w:rPr>
          <w:b/>
          <w:i/>
          <w:color w:val="000000"/>
        </w:rPr>
      </w:pPr>
      <w:r>
        <w:rPr>
          <w:b/>
          <w:i/>
        </w:rPr>
        <w:t>D</w:t>
      </w:r>
      <w:r>
        <w:rPr>
          <w:b/>
          <w:i/>
          <w:color w:val="000000"/>
        </w:rPr>
        <w:t>eveloping mutually reinforcing commitments on GBV risk mitigation under the post-2020 Call to Action Roadmap</w:t>
      </w:r>
    </w:p>
    <w:p w:rsidR="00B02888" w:rsidRDefault="00B02888">
      <w:pPr>
        <w:rPr>
          <w:b/>
          <w:i/>
          <w:sz w:val="12"/>
          <w:szCs w:val="12"/>
        </w:rPr>
      </w:pPr>
    </w:p>
    <w:p w:rsidR="00B02888" w:rsidRDefault="007A4083">
      <w:r>
        <w:t>September 2020</w:t>
      </w:r>
    </w:p>
    <w:p w:rsidR="00B02888" w:rsidRDefault="00B02888">
      <w:pPr>
        <w:rPr>
          <w:color w:val="000000"/>
        </w:rPr>
      </w:pPr>
    </w:p>
    <w:p w:rsidR="00B02888" w:rsidRDefault="007A408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Background</w:t>
      </w:r>
    </w:p>
    <w:p w:rsidR="00B02888" w:rsidRDefault="007A40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GBV risk mitigation was one of six outcome areas in the 2016-2020 Call to Action (CTA) Roadmap. However, despite being </w:t>
      </w:r>
      <w:r>
        <w:rPr>
          <w:color w:val="000000"/>
          <w:sz w:val="22"/>
          <w:szCs w:val="22"/>
        </w:rPr>
        <w:t>the program-focused outcome area that implicates the largest number of CTA members and partners (in the sense that ALL actors, regardless of mandate or area of focus, have a responsibility to reduce the risk of GBV in their programming) – it was also the o</w:t>
      </w:r>
      <w:r>
        <w:rPr>
          <w:color w:val="000000"/>
          <w:sz w:val="22"/>
          <w:szCs w:val="22"/>
        </w:rPr>
        <w:t xml:space="preserve">utcome that received the fewest number of commitments.  </w:t>
      </w:r>
    </w:p>
    <w:p w:rsidR="00B02888" w:rsidRDefault="00B02888">
      <w:pPr>
        <w:rPr>
          <w:color w:val="000000"/>
          <w:sz w:val="22"/>
          <w:szCs w:val="22"/>
        </w:rPr>
      </w:pPr>
    </w:p>
    <w:p w:rsidR="00B02888" w:rsidRDefault="007A40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2021-2025 Call to Action (CTA) Roadmap provides a useful opportunity for CTA member agencies to refresh and, in some cases, rethink their commitments. </w:t>
      </w:r>
      <w:r>
        <w:rPr>
          <w:sz w:val="22"/>
          <w:szCs w:val="22"/>
        </w:rPr>
        <w:t>The launch of the new Roadmap further enabl</w:t>
      </w:r>
      <w:r>
        <w:rPr>
          <w:sz w:val="22"/>
          <w:szCs w:val="22"/>
        </w:rPr>
        <w:t>es partners to</w:t>
      </w:r>
      <w:r>
        <w:rPr>
          <w:color w:val="000000"/>
          <w:sz w:val="22"/>
          <w:szCs w:val="22"/>
        </w:rPr>
        <w:t xml:space="preserve"> consider how th</w:t>
      </w:r>
      <w:r>
        <w:rPr>
          <w:sz w:val="22"/>
          <w:szCs w:val="22"/>
        </w:rPr>
        <w:t>is year’s</w:t>
      </w:r>
      <w:r>
        <w:rPr>
          <w:color w:val="000000"/>
          <w:sz w:val="22"/>
          <w:szCs w:val="22"/>
        </w:rPr>
        <w:t xml:space="preserve"> commitment making process can build </w:t>
      </w:r>
      <w:r>
        <w:rPr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learning from the 2016 commitment making process, to be more dynamic and ultimately achieve greater p</w:t>
      </w:r>
      <w:r>
        <w:rPr>
          <w:sz w:val="22"/>
          <w:szCs w:val="22"/>
        </w:rPr>
        <w:t xml:space="preserve">rogrammatic </w:t>
      </w:r>
      <w:r>
        <w:rPr>
          <w:color w:val="000000"/>
          <w:sz w:val="22"/>
          <w:szCs w:val="22"/>
        </w:rPr>
        <w:t>outcomes</w:t>
      </w:r>
      <w:r>
        <w:rPr>
          <w:sz w:val="22"/>
          <w:szCs w:val="22"/>
        </w:rPr>
        <w:t xml:space="preserve"> across sectors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by strengthening the integration of GBV</w:t>
      </w:r>
      <w:r>
        <w:rPr>
          <w:sz w:val="22"/>
          <w:szCs w:val="22"/>
        </w:rPr>
        <w:t xml:space="preserve"> risk mitigation actions.</w:t>
      </w:r>
    </w:p>
    <w:p w:rsidR="00B02888" w:rsidRDefault="00B02888">
      <w:pPr>
        <w:rPr>
          <w:color w:val="000000"/>
          <w:sz w:val="22"/>
          <w:szCs w:val="22"/>
        </w:rPr>
      </w:pPr>
    </w:p>
    <w:p w:rsidR="00B02888" w:rsidRDefault="007A40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GBV risk mitigation (Roadmap outcome area 6), there are significant opportunities to use the existing structure of the inter-agency GBV Guidelines Reference Group (RG) to support the development of mutually reinforcing or mut</w:t>
      </w:r>
      <w:r>
        <w:rPr>
          <w:color w:val="000000"/>
          <w:sz w:val="22"/>
          <w:szCs w:val="22"/>
        </w:rPr>
        <w:t xml:space="preserve">ually supportive commitments </w:t>
      </w:r>
      <w:r>
        <w:rPr>
          <w:i/>
          <w:color w:val="000000"/>
          <w:sz w:val="22"/>
          <w:szCs w:val="22"/>
        </w:rPr>
        <w:t>across</w:t>
      </w:r>
      <w:r>
        <w:rPr>
          <w:color w:val="000000"/>
          <w:sz w:val="22"/>
          <w:szCs w:val="22"/>
        </w:rPr>
        <w:t xml:space="preserve"> agencies – in ot</w:t>
      </w:r>
      <w:r>
        <w:rPr>
          <w:sz w:val="22"/>
          <w:szCs w:val="22"/>
        </w:rPr>
        <w:t xml:space="preserve">her words, commitments that fit clearly within the mandate and priorities of the individual agency, but which are aligned and </w:t>
      </w:r>
      <w:r>
        <w:rPr>
          <w:i/>
          <w:sz w:val="22"/>
          <w:szCs w:val="22"/>
        </w:rPr>
        <w:t>also</w:t>
      </w:r>
      <w:r>
        <w:rPr>
          <w:sz w:val="22"/>
          <w:szCs w:val="22"/>
        </w:rPr>
        <w:t xml:space="preserve"> serve to support the collective, overarching vision o</w:t>
      </w:r>
      <w:r>
        <w:rPr>
          <w:sz w:val="22"/>
          <w:szCs w:val="22"/>
        </w:rPr>
        <w:t>f the CTA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Whilst agencies will not necessarily all be making the same commitments, </w:t>
      </w: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hen taken together, these mutually reinforcing commitments </w:t>
      </w:r>
      <w:r>
        <w:rPr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be more impactful than commitments made by agencies in is</w:t>
      </w:r>
      <w:r>
        <w:rPr>
          <w:color w:val="000000"/>
          <w:sz w:val="22"/>
          <w:szCs w:val="22"/>
        </w:rPr>
        <w:t xml:space="preserve">olation. </w:t>
      </w:r>
    </w:p>
    <w:p w:rsidR="00B02888" w:rsidRDefault="00B02888">
      <w:pPr>
        <w:rPr>
          <w:sz w:val="22"/>
          <w:szCs w:val="22"/>
        </w:rPr>
      </w:pPr>
    </w:p>
    <w:p w:rsidR="00B02888" w:rsidRDefault="007A4083">
      <w:pPr>
        <w:rPr>
          <w:sz w:val="22"/>
          <w:szCs w:val="22"/>
        </w:rPr>
      </w:pPr>
      <w:r>
        <w:rPr>
          <w:sz w:val="22"/>
          <w:szCs w:val="22"/>
        </w:rPr>
        <w:t>Specific guidance on how to make commitments can be</w:t>
      </w:r>
      <w:r>
        <w:rPr>
          <w:sz w:val="22"/>
          <w:szCs w:val="22"/>
        </w:rPr>
        <w:t xml:space="preserve"> found in Annex C of the</w:t>
      </w:r>
      <w:hyperlink r:id="rId8">
        <w:r>
          <w:rPr>
            <w:color w:val="1155CC"/>
            <w:sz w:val="22"/>
            <w:szCs w:val="22"/>
            <w:u w:val="single"/>
          </w:rPr>
          <w:t xml:space="preserve"> 2020-2025 Call to Action Roadmap</w:t>
        </w:r>
      </w:hyperlink>
      <w:r>
        <w:rPr>
          <w:sz w:val="22"/>
          <w:szCs w:val="22"/>
        </w:rPr>
        <w:t>.</w:t>
      </w:r>
    </w:p>
    <w:p w:rsidR="00B02888" w:rsidRDefault="00B02888">
      <w:pPr>
        <w:rPr>
          <w:color w:val="000000"/>
          <w:sz w:val="22"/>
          <w:szCs w:val="22"/>
        </w:rPr>
      </w:pPr>
    </w:p>
    <w:p w:rsidR="00B02888" w:rsidRDefault="007A408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Specific goal of collective commitment making under Outcome 6 </w:t>
      </w:r>
    </w:p>
    <w:p w:rsidR="00B02888" w:rsidRDefault="007A4083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(i.e.: where can the Roadmap take us by 2025?)</w:t>
      </w:r>
    </w:p>
    <w:p w:rsidR="00B02888" w:rsidRDefault="007A40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CTA member agencies have the p</w:t>
      </w:r>
      <w:r>
        <w:rPr>
          <w:color w:val="000000"/>
          <w:sz w:val="22"/>
          <w:szCs w:val="22"/>
        </w:rPr>
        <w:t xml:space="preserve">olitical will, capacity and sufficient resources to be able to integrate GBV risk mitigation actions in their policies, advocacy work and/or programming. </w:t>
      </w:r>
    </w:p>
    <w:p w:rsidR="00B02888" w:rsidRDefault="00B02888">
      <w:pPr>
        <w:rPr>
          <w:b/>
          <w:color w:val="000000"/>
          <w:sz w:val="22"/>
          <w:szCs w:val="22"/>
        </w:rPr>
      </w:pPr>
    </w:p>
    <w:p w:rsidR="00B02888" w:rsidRDefault="007A408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Key request</w:t>
      </w:r>
    </w:p>
    <w:p w:rsidR="00B02888" w:rsidRDefault="007A40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GBV Guidelines Reference Group has collectively agreed that all RG members should de</w:t>
      </w:r>
      <w:r>
        <w:rPr>
          <w:color w:val="000000"/>
          <w:sz w:val="22"/>
          <w:szCs w:val="22"/>
        </w:rPr>
        <w:t xml:space="preserve">velop mutually reinforcing commitments under Outcome 6 of the new CTA Roadmap. In order to support this commitment making, the RG has developed the below guidance. </w:t>
      </w:r>
      <w:r>
        <w:rPr>
          <w:sz w:val="22"/>
          <w:szCs w:val="22"/>
        </w:rPr>
        <w:t>The commitments listed are samples; meant to be prioritized, adapted and adjusted based on w</w:t>
      </w:r>
      <w:r>
        <w:rPr>
          <w:sz w:val="22"/>
          <w:szCs w:val="22"/>
        </w:rPr>
        <w:t>hat GBV risk mitigation structures/building blocks are already in place for the agency and what the agency’s GBV risk mitigation priorities are.</w:t>
      </w:r>
    </w:p>
    <w:p w:rsidR="00B02888" w:rsidRDefault="00B02888">
      <w:pPr>
        <w:rPr>
          <w:sz w:val="22"/>
          <w:szCs w:val="22"/>
        </w:rPr>
      </w:pPr>
    </w:p>
    <w:p w:rsidR="00B02888" w:rsidRDefault="007A4083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Note to Cluster Lead Agencies (</w:t>
      </w:r>
      <w:proofErr w:type="spellStart"/>
      <w:r>
        <w:rPr>
          <w:b/>
          <w:i/>
          <w:sz w:val="22"/>
          <w:szCs w:val="22"/>
        </w:rPr>
        <w:t>CLAs</w:t>
      </w:r>
      <w:proofErr w:type="spellEnd"/>
      <w:r>
        <w:rPr>
          <w:b/>
          <w:i/>
          <w:sz w:val="22"/>
          <w:szCs w:val="22"/>
        </w:rPr>
        <w:t>)/sector lead agencies:</w:t>
      </w:r>
      <w:r>
        <w:rPr>
          <w:i/>
          <w:sz w:val="22"/>
          <w:szCs w:val="22"/>
        </w:rPr>
        <w:t xml:space="preserve"> in addition to agency-level, program focused commitments, </w:t>
      </w:r>
      <w:proofErr w:type="spellStart"/>
      <w:r>
        <w:rPr>
          <w:i/>
          <w:sz w:val="22"/>
          <w:szCs w:val="22"/>
        </w:rPr>
        <w:t>CLAs</w:t>
      </w:r>
      <w:proofErr w:type="spellEnd"/>
      <w:r>
        <w:rPr>
          <w:i/>
          <w:sz w:val="22"/>
          <w:szCs w:val="22"/>
        </w:rPr>
        <w:t>/sector lead agencies should make commitments for the cluster(s)/sector(s) that they lead.</w:t>
      </w:r>
    </w:p>
    <w:p w:rsidR="00B02888" w:rsidRDefault="00B02888">
      <w:pPr>
        <w:rPr>
          <w:i/>
          <w:color w:val="000000"/>
          <w:sz w:val="22"/>
          <w:szCs w:val="22"/>
        </w:rPr>
      </w:pPr>
    </w:p>
    <w:p w:rsidR="00B02888" w:rsidRDefault="007A40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questions or additional information, please contact [</w:t>
      </w:r>
      <w:r>
        <w:rPr>
          <w:color w:val="000000"/>
          <w:sz w:val="22"/>
          <w:szCs w:val="22"/>
          <w:highlight w:val="yellow"/>
        </w:rPr>
        <w:t>AGENCY LEAD</w:t>
      </w:r>
      <w:r>
        <w:rPr>
          <w:color w:val="000000"/>
          <w:sz w:val="22"/>
          <w:szCs w:val="22"/>
        </w:rPr>
        <w:t>] or Erin Patrick, global inter-a</w:t>
      </w:r>
      <w:r>
        <w:rPr>
          <w:color w:val="000000"/>
          <w:sz w:val="22"/>
          <w:szCs w:val="22"/>
        </w:rPr>
        <w:t xml:space="preserve">gency GBV Guidelines Coordinator, at </w:t>
      </w:r>
      <w:hyperlink r:id="rId9">
        <w:r>
          <w:rPr>
            <w:color w:val="1155CC"/>
            <w:sz w:val="22"/>
            <w:szCs w:val="22"/>
            <w:u w:val="single"/>
          </w:rPr>
          <w:t>gbv.guidelines@gmail.com</w:t>
        </w:r>
      </w:hyperlink>
      <w:r>
        <w:rPr>
          <w:color w:val="000000"/>
          <w:sz w:val="22"/>
          <w:szCs w:val="22"/>
        </w:rPr>
        <w:t>.</w:t>
      </w:r>
    </w:p>
    <w:p w:rsidR="00B02888" w:rsidRDefault="00B02888">
      <w:pPr>
        <w:rPr>
          <w:color w:val="000000"/>
          <w:sz w:val="22"/>
          <w:szCs w:val="22"/>
        </w:rPr>
      </w:pPr>
    </w:p>
    <w:p w:rsidR="00B02888" w:rsidRDefault="007A4083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2020-2025 Call to Action</w:t>
      </w:r>
      <w:r>
        <w:rPr>
          <w:b/>
          <w:color w:val="000000"/>
          <w:sz w:val="26"/>
          <w:szCs w:val="26"/>
        </w:rPr>
        <w:t xml:space="preserve"> Roadmap Excerpt/Outcome 6</w:t>
      </w:r>
    </w:p>
    <w:p w:rsidR="00B02888" w:rsidRDefault="00B02888">
      <w:pPr>
        <w:jc w:val="both"/>
        <w:rPr>
          <w:color w:val="000000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02888">
        <w:tc>
          <w:tcPr>
            <w:tcW w:w="9350" w:type="dxa"/>
            <w:gridSpan w:val="3"/>
          </w:tcPr>
          <w:p w:rsidR="00B02888" w:rsidRDefault="007A40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Outcome 6 -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GBV Risk Mitigation </w:t>
            </w:r>
          </w:p>
          <w:p w:rsidR="00B02888" w:rsidRDefault="007A40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GBV risk mitigation and promotion of gender equality are effectively integrated into program design, implementation, and monitoring and evaluation across all humanitarian sectors in line with the </w:t>
            </w: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IASC Guidel</w:t>
              </w:r>
              <w:r>
                <w:rPr>
                  <w:color w:val="1155CC"/>
                  <w:sz w:val="22"/>
                  <w:szCs w:val="22"/>
                  <w:u w:val="single"/>
                </w:rPr>
                <w:t>ines for Integrating Gender-Based Violence Interventions in Humanitarian Action</w:t>
              </w:r>
            </w:hyperlink>
            <w:r>
              <w:rPr>
                <w:color w:val="000000"/>
                <w:sz w:val="22"/>
                <w:szCs w:val="22"/>
              </w:rPr>
              <w:t>.</w:t>
            </w:r>
          </w:p>
          <w:p w:rsidR="00B02888" w:rsidRDefault="00B02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2888">
        <w:tc>
          <w:tcPr>
            <w:tcW w:w="3116" w:type="dxa"/>
          </w:tcPr>
          <w:p w:rsidR="00B02888" w:rsidRDefault="007A408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Key Action Area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KAA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:rsidR="00B02888" w:rsidRDefault="007A408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Guiding questions to consider when crafting commitments</w:t>
            </w:r>
          </w:p>
        </w:tc>
        <w:tc>
          <w:tcPr>
            <w:tcW w:w="3117" w:type="dxa"/>
          </w:tcPr>
          <w:p w:rsidR="00B02888" w:rsidRDefault="007A408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Potential sample commitment </w:t>
            </w:r>
          </w:p>
        </w:tc>
      </w:tr>
      <w:tr w:rsidR="00B02888">
        <w:trPr>
          <w:trHeight w:val="1243"/>
        </w:trPr>
        <w:tc>
          <w:tcPr>
            <w:tcW w:w="3116" w:type="dxa"/>
            <w:vMerge w:val="restart"/>
          </w:tcPr>
          <w:p w:rsidR="00B02888" w:rsidRDefault="007A40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6-1 Institutionalization:</w:t>
            </w:r>
            <w:r>
              <w:rPr>
                <w:color w:val="000000"/>
                <w:sz w:val="22"/>
                <w:szCs w:val="22"/>
              </w:rPr>
              <w:t xml:space="preserve"> Institutionalize GBV risk identification into sectoral and intersectoral tools, standards, processes, trainings, and other key materials for all phases of the program cycle across all sectors.</w:t>
            </w:r>
          </w:p>
          <w:p w:rsidR="00B02888" w:rsidRDefault="00B02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Which tools/standards exist at agency and/or cluster/sectoral level (for </w:t>
            </w:r>
            <w:proofErr w:type="spellStart"/>
            <w:r>
              <w:rPr>
                <w:color w:val="000000"/>
                <w:sz w:val="22"/>
                <w:szCs w:val="22"/>
              </w:rPr>
              <w:t>CLAs</w:t>
            </w:r>
            <w:proofErr w:type="spellEnd"/>
            <w:r>
              <w:rPr>
                <w:color w:val="000000"/>
                <w:sz w:val="22"/>
                <w:szCs w:val="22"/>
              </w:rPr>
              <w:t>/sector lead</w:t>
            </w:r>
            <w:r>
              <w:rPr>
                <w:sz w:val="22"/>
                <w:szCs w:val="22"/>
              </w:rPr>
              <w:t xml:space="preserve"> agencies</w:t>
            </w:r>
            <w:r>
              <w:rPr>
                <w:color w:val="000000"/>
                <w:sz w:val="22"/>
                <w:szCs w:val="22"/>
              </w:rPr>
              <w:t>) that can be improved vis à vis risk mitigation? How can these tools/standards be used to identify potential entry points for GBV risk mitigation, and/or sup</w:t>
            </w:r>
            <w:r>
              <w:rPr>
                <w:color w:val="000000"/>
                <w:sz w:val="22"/>
                <w:szCs w:val="22"/>
              </w:rPr>
              <w:t>port development of an action plan to fill th</w:t>
            </w:r>
            <w:r>
              <w:rPr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gaps? Can filling identified gap(s) on GBV risk mitigation in tools, standards or policies form the basis for a commitment, whether here or under one of the other </w:t>
            </w:r>
            <w:proofErr w:type="spellStart"/>
            <w:r>
              <w:rPr>
                <w:color w:val="000000"/>
                <w:sz w:val="22"/>
                <w:szCs w:val="22"/>
              </w:rPr>
              <w:t>KAAs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[YEAR], % of applicable internal prog</w:t>
            </w:r>
            <w:r>
              <w:rPr>
                <w:sz w:val="22"/>
                <w:szCs w:val="22"/>
              </w:rPr>
              <w:t>ram planning templates and guidance documents that include instructions on integration of GBV risk mitigation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[YEAR], 100% of relevant agency-specific policies &amp; resources appropriately integrate GBV risk mitigation. 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>
              <w:rPr>
                <w:i/>
                <w:sz w:val="22"/>
                <w:szCs w:val="22"/>
              </w:rPr>
              <w:t>CLAs</w:t>
            </w:r>
            <w:proofErr w:type="spellEnd"/>
            <w:r>
              <w:rPr>
                <w:i/>
                <w:sz w:val="22"/>
                <w:szCs w:val="22"/>
              </w:rPr>
              <w:t xml:space="preserve">/sector lead agencies: </w:t>
            </w:r>
            <w:r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</w:rPr>
              <w:t xml:space="preserve"> [YEAR], 100% of core cluster/</w:t>
            </w:r>
            <w:r>
              <w:rPr>
                <w:sz w:val="22"/>
                <w:szCs w:val="22"/>
              </w:rPr>
              <w:t xml:space="preserve">sector-specific policies &amp; resources appropriately integrate GBV risk mitigation. 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</w:tc>
      </w:tr>
      <w:tr w:rsidR="00B02888">
        <w:trPr>
          <w:trHeight w:val="1240"/>
        </w:trPr>
        <w:tc>
          <w:tcPr>
            <w:tcW w:w="3116" w:type="dxa"/>
            <w:vMerge/>
          </w:tcPr>
          <w:p w:rsidR="00B02888" w:rsidRDefault="00B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what degree are frontline staff already trained on GBV risk mitigation, including</w:t>
            </w:r>
            <w:r>
              <w:rPr>
                <w:sz w:val="22"/>
                <w:szCs w:val="22"/>
              </w:rPr>
              <w:t xml:space="preserve"> safely &amp; ethically responding to GBV disclosures</w:t>
            </w:r>
            <w:r>
              <w:rPr>
                <w:color w:val="000000"/>
                <w:sz w:val="22"/>
                <w:szCs w:val="22"/>
              </w:rPr>
              <w:t>? To what degree are program</w:t>
            </w:r>
            <w:r>
              <w:rPr>
                <w:sz w:val="22"/>
                <w:szCs w:val="22"/>
              </w:rPr>
              <w:t xml:space="preserve">-facing and coordination staff trained on GBV risk mitigation, including responding to disclosures? </w:t>
            </w:r>
            <w:r>
              <w:rPr>
                <w:color w:val="000000"/>
                <w:sz w:val="22"/>
                <w:szCs w:val="22"/>
              </w:rPr>
              <w:t xml:space="preserve">Are there other human resources capacity gaps that need to be filled?  </w:t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Train X</w:t>
            </w:r>
            <w:r>
              <w:rPr>
                <w:color w:val="000000"/>
                <w:sz w:val="22"/>
                <w:szCs w:val="22"/>
              </w:rPr>
              <w:t>% of all frontline and program-facing staff on GBV risk mitigation and r</w:t>
            </w:r>
            <w:r>
              <w:rPr>
                <w:sz w:val="22"/>
                <w:szCs w:val="22"/>
              </w:rPr>
              <w:t>esponding to a disclosure</w:t>
            </w:r>
            <w:r>
              <w:rPr>
                <w:color w:val="000000"/>
                <w:sz w:val="22"/>
                <w:szCs w:val="22"/>
              </w:rPr>
              <w:t xml:space="preserve"> (in line with the </w:t>
            </w:r>
            <w:hyperlink r:id="rId11" w:history="1">
              <w:r w:rsidRPr="00250D21">
                <w:rPr>
                  <w:rStyle w:val="Hyperlink"/>
                  <w:sz w:val="22"/>
                  <w:szCs w:val="22"/>
                </w:rPr>
                <w:t>GBV Guidelines</w:t>
              </w:r>
            </w:hyperlink>
            <w:r>
              <w:rPr>
                <w:color w:val="000000"/>
                <w:sz w:val="22"/>
                <w:szCs w:val="22"/>
              </w:rPr>
              <w:t xml:space="preserve"> and the </w:t>
            </w:r>
            <w:hyperlink r:id="rId12">
              <w:r>
                <w:rPr>
                  <w:color w:val="1155CC"/>
                  <w:sz w:val="22"/>
                  <w:szCs w:val="22"/>
                  <w:u w:val="single"/>
                </w:rPr>
                <w:t>GBV Pocket Guide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[YEAR], 100% of standard onboarding/capacity building requirements for all staff will incorporate training on GBV risk mitigation </w:t>
            </w:r>
          </w:p>
        </w:tc>
      </w:tr>
      <w:tr w:rsidR="00B02888">
        <w:trPr>
          <w:trHeight w:val="1240"/>
        </w:trPr>
        <w:tc>
          <w:tcPr>
            <w:tcW w:w="3116" w:type="dxa"/>
            <w:vMerge/>
          </w:tcPr>
          <w:p w:rsidR="00B02888" w:rsidRDefault="00B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parts of the agency’s </w:t>
            </w:r>
            <w:r>
              <w:rPr>
                <w:sz w:val="22"/>
                <w:szCs w:val="22"/>
              </w:rPr>
              <w:t>human resources/ organizational processes</w:t>
            </w:r>
            <w:r>
              <w:rPr>
                <w:color w:val="000000"/>
                <w:sz w:val="22"/>
                <w:szCs w:val="22"/>
              </w:rPr>
              <w:t xml:space="preserve"> can be adjusted to better account for RM related responsibilities? (for example, job descriptions, performance appraisals, etc. - across all levels of an organization including senior management)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proofErr w:type="spellStart"/>
            <w:r>
              <w:rPr>
                <w:sz w:val="22"/>
                <w:szCs w:val="22"/>
              </w:rPr>
              <w:t>CLAs</w:t>
            </w:r>
            <w:proofErr w:type="spellEnd"/>
            <w:r>
              <w:rPr>
                <w:sz w:val="22"/>
                <w:szCs w:val="22"/>
              </w:rPr>
              <w:t xml:space="preserve">/sector lead agencies: </w:t>
            </w:r>
            <w:r>
              <w:rPr>
                <w:sz w:val="22"/>
                <w:szCs w:val="22"/>
                <w:highlight w:val="white"/>
              </w:rPr>
              <w:t>to what extent is GBV risk mitigation institutionalized in the cluster coordination structures at both country and global levels?</w:t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[YEAR], </w:t>
            </w:r>
            <w:r>
              <w:rPr>
                <w:color w:val="000000"/>
                <w:sz w:val="22"/>
                <w:szCs w:val="22"/>
              </w:rPr>
              <w:t>GBV risk mitigation</w:t>
            </w:r>
            <w:r>
              <w:rPr>
                <w:sz w:val="22"/>
                <w:szCs w:val="22"/>
              </w:rPr>
              <w:t xml:space="preserve">-related </w:t>
            </w:r>
            <w:r>
              <w:rPr>
                <w:color w:val="000000"/>
                <w:sz w:val="22"/>
                <w:szCs w:val="22"/>
              </w:rPr>
              <w:t xml:space="preserve">responsibilities </w:t>
            </w:r>
            <w:r>
              <w:rPr>
                <w:sz w:val="22"/>
                <w:szCs w:val="22"/>
              </w:rPr>
              <w:t>will</w:t>
            </w:r>
            <w:r>
              <w:rPr>
                <w:color w:val="000000"/>
                <w:sz w:val="22"/>
                <w:szCs w:val="22"/>
              </w:rPr>
              <w:t xml:space="preserve"> be incorporated into </w:t>
            </w:r>
            <w:proofErr w:type="spellStart"/>
            <w:r>
              <w:rPr>
                <w:color w:val="000000"/>
                <w:sz w:val="22"/>
                <w:szCs w:val="22"/>
              </w:rPr>
              <w:t>TORs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perf</w:t>
            </w:r>
            <w:r>
              <w:rPr>
                <w:color w:val="000000"/>
                <w:sz w:val="22"/>
                <w:szCs w:val="22"/>
              </w:rPr>
              <w:t>ormance reviews for staff in all programmatic sectors and leadership levels.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>
              <w:rPr>
                <w:i/>
                <w:sz w:val="22"/>
                <w:szCs w:val="22"/>
              </w:rPr>
              <w:t>CLAs</w:t>
            </w:r>
            <w:proofErr w:type="spellEnd"/>
            <w:r>
              <w:rPr>
                <w:i/>
                <w:sz w:val="22"/>
                <w:szCs w:val="22"/>
              </w:rPr>
              <w:t xml:space="preserve">/sector lead agencies: </w:t>
            </w:r>
            <w:r>
              <w:rPr>
                <w:sz w:val="22"/>
                <w:szCs w:val="22"/>
              </w:rPr>
              <w:t xml:space="preserve">By [YEAR], </w:t>
            </w:r>
            <w:r>
              <w:rPr>
                <w:sz w:val="22"/>
                <w:szCs w:val="22"/>
                <w:highlight w:val="white"/>
              </w:rPr>
              <w:t>GBV risk mitigation-related responsibilities will be incorporated into all cluster/sector coordinators’ core competencies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B02888" w:rsidRDefault="007A40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[YEAR], GBV risk mitigation-related requirements will be integrated into core Human Resources recruitment materials, such as functional competencies for standard job descriptions, candidate screening/shortlisting processes, and interview questions.</w:t>
            </w:r>
            <w:r>
              <w:rPr>
                <w:sz w:val="22"/>
                <w:szCs w:val="22"/>
              </w:rPr>
              <w:t xml:space="preserve"> 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02888">
        <w:trPr>
          <w:trHeight w:val="1240"/>
        </w:trPr>
        <w:tc>
          <w:tcPr>
            <w:tcW w:w="3116" w:type="dxa"/>
            <w:vMerge/>
          </w:tcPr>
          <w:p w:rsidR="00B02888" w:rsidRDefault="00B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commitments on institutionalization be combined with/reinforcing of localization?</w:t>
            </w:r>
          </w:p>
        </w:tc>
        <w:tc>
          <w:tcPr>
            <w:tcW w:w="3117" w:type="dxa"/>
          </w:tcPr>
          <w:p w:rsidR="00B02888" w:rsidRDefault="007A408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(see 6-5 below)</w:t>
            </w:r>
          </w:p>
        </w:tc>
      </w:tr>
      <w:tr w:rsidR="00B02888">
        <w:tc>
          <w:tcPr>
            <w:tcW w:w="3116" w:type="dxa"/>
            <w:vMerge w:val="restart"/>
          </w:tcPr>
          <w:p w:rsidR="00B02888" w:rsidRDefault="007A408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6-2 Implementation</w:t>
            </w:r>
            <w:r>
              <w:rPr>
                <w:color w:val="000000"/>
                <w:sz w:val="22"/>
                <w:szCs w:val="22"/>
              </w:rPr>
              <w:t>: Implement, monitor and report on the results of integration of GBV risk mitigation and sector-specific outcomes in humanitarian programming.</w:t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re GBV risk mitigation interventions required as a standard aspect of </w:t>
            </w:r>
            <w:proofErr w:type="spellStart"/>
            <w:r>
              <w:rPr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design and implementation? If no</w:t>
            </w:r>
            <w:r>
              <w:rPr>
                <w:color w:val="000000"/>
                <w:sz w:val="22"/>
                <w:szCs w:val="22"/>
              </w:rPr>
              <w:t>t,</w:t>
            </w:r>
            <w:r>
              <w:rPr>
                <w:sz w:val="22"/>
                <w:szCs w:val="22"/>
              </w:rPr>
              <w:t xml:space="preserve"> can a commitment be made to ensure that all programs are designed and implemented in a way that integrates GBV risk mitigation?</w:t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By [YEAR], 100% of all strategies for X sector(s) will incorporate GBV risk mitigation actions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By [YEAR], 100</w:t>
            </w:r>
            <w:r>
              <w:rPr>
                <w:color w:val="000000"/>
                <w:sz w:val="22"/>
                <w:szCs w:val="22"/>
              </w:rPr>
              <w:t>% of all progra</w:t>
            </w:r>
            <w:r>
              <w:rPr>
                <w:color w:val="000000"/>
                <w:sz w:val="22"/>
                <w:szCs w:val="22"/>
              </w:rPr>
              <w:t>mmatic interventions for X sector(s) will include at least X GBV risk mitigation action(s)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02888">
        <w:tc>
          <w:tcPr>
            <w:tcW w:w="3116" w:type="dxa"/>
            <w:vMerge/>
          </w:tcPr>
          <w:p w:rsidR="00B02888" w:rsidRDefault="00B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indicators</w:t>
            </w:r>
            <w:r>
              <w:rPr>
                <w:color w:val="000000"/>
                <w:sz w:val="22"/>
                <w:szCs w:val="22"/>
              </w:rPr>
              <w:t xml:space="preserve"> (if any) are already being used to track </w:t>
            </w:r>
            <w:r>
              <w:rPr>
                <w:color w:val="000000"/>
                <w:sz w:val="22"/>
                <w:szCs w:val="22"/>
              </w:rPr>
              <w:lastRenderedPageBreak/>
              <w:t>results of GBV risk mitigation actio</w:t>
            </w:r>
            <w:r>
              <w:rPr>
                <w:sz w:val="22"/>
                <w:szCs w:val="22"/>
              </w:rPr>
              <w:t xml:space="preserve">ns? If </w:t>
            </w:r>
            <w:r>
              <w:rPr>
                <w:sz w:val="22"/>
                <w:szCs w:val="22"/>
              </w:rPr>
              <w:t>GBV RM indicators exist - c</w:t>
            </w:r>
            <w:r>
              <w:rPr>
                <w:sz w:val="22"/>
                <w:szCs w:val="22"/>
              </w:rPr>
              <w:t xml:space="preserve">an those be shared (or, as needed, developed) across agencies working </w:t>
            </w:r>
            <w:r>
              <w:rPr>
                <w:sz w:val="22"/>
                <w:szCs w:val="22"/>
              </w:rPr>
              <w:t>within</w:t>
            </w:r>
            <w:r>
              <w:rPr>
                <w:sz w:val="22"/>
                <w:szCs w:val="22"/>
              </w:rPr>
              <w:t xml:space="preserve"> the same sector to support more comprehensive monitoring of results</w:t>
            </w:r>
            <w:r>
              <w:rPr>
                <w:sz w:val="22"/>
                <w:szCs w:val="22"/>
              </w:rPr>
              <w:t xml:space="preserve"> and outcomes?  If such indicators do NO</w:t>
            </w:r>
            <w:r>
              <w:rPr>
                <w:sz w:val="22"/>
                <w:szCs w:val="22"/>
              </w:rPr>
              <w:t>T exist, can they be developed?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GBV risk mitigation results and outcomes will be </w:t>
            </w:r>
            <w:r>
              <w:rPr>
                <w:sz w:val="22"/>
                <w:szCs w:val="22"/>
              </w:rPr>
              <w:lastRenderedPageBreak/>
              <w:t xml:space="preserve">systematically tracked as part of standard </w:t>
            </w:r>
            <w:proofErr w:type="spellStart"/>
            <w:r>
              <w:rPr>
                <w:sz w:val="22"/>
                <w:szCs w:val="22"/>
              </w:rPr>
              <w:t>M&amp;E</w:t>
            </w:r>
            <w:proofErr w:type="spellEnd"/>
            <w:r>
              <w:rPr>
                <w:sz w:val="22"/>
                <w:szCs w:val="22"/>
              </w:rPr>
              <w:t xml:space="preserve">/results tracking across all programmatic sectors  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on successes/challenges re</w:t>
            </w:r>
            <w:r>
              <w:rPr>
                <w:sz w:val="22"/>
                <w:szCs w:val="22"/>
              </w:rPr>
              <w:t xml:space="preserve">lated to GBV risk mitigation </w:t>
            </w:r>
            <w:proofErr w:type="spellStart"/>
            <w:r>
              <w:rPr>
                <w:sz w:val="22"/>
                <w:szCs w:val="22"/>
              </w:rPr>
              <w:t>M&amp;E</w:t>
            </w:r>
            <w:proofErr w:type="spellEnd"/>
            <w:r>
              <w:rPr>
                <w:sz w:val="22"/>
                <w:szCs w:val="22"/>
              </w:rPr>
              <w:t xml:space="preserve"> will be systematically documented and shared</w:t>
            </w:r>
          </w:p>
        </w:tc>
      </w:tr>
      <w:tr w:rsidR="00B02888">
        <w:tc>
          <w:tcPr>
            <w:tcW w:w="3116" w:type="dxa"/>
            <w:vMerge/>
          </w:tcPr>
          <w:p w:rsidR="00B02888" w:rsidRDefault="00B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types of field-level interventions on GBV risk mitigation lend themselves well to cross-sectoral/ cluster or other joint work?</w:t>
            </w:r>
          </w:p>
        </w:tc>
        <w:tc>
          <w:tcPr>
            <w:tcW w:w="3117" w:type="dxa"/>
          </w:tcPr>
          <w:p w:rsidR="00B02888" w:rsidRDefault="00250D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7A4083">
              <w:rPr>
                <w:color w:val="000000"/>
                <w:sz w:val="22"/>
                <w:szCs w:val="22"/>
              </w:rPr>
              <w:t>oint safety audits</w:t>
            </w:r>
            <w:r>
              <w:rPr>
                <w:color w:val="000000"/>
                <w:sz w:val="22"/>
                <w:szCs w:val="22"/>
              </w:rPr>
              <w:t xml:space="preserve"> will be conducted</w:t>
            </w:r>
            <w:r w:rsidR="007A4083">
              <w:rPr>
                <w:color w:val="000000"/>
                <w:sz w:val="22"/>
                <w:szCs w:val="22"/>
              </w:rPr>
              <w:t xml:space="preserve"> </w:t>
            </w:r>
            <w:r w:rsidR="007A4083">
              <w:rPr>
                <w:color w:val="000000"/>
                <w:sz w:val="22"/>
                <w:szCs w:val="22"/>
              </w:rPr>
              <w:t xml:space="preserve">in X locations or X% of emergency responses </w:t>
            </w:r>
            <w:r w:rsidR="007A4083">
              <w:rPr>
                <w:i/>
                <w:color w:val="000000"/>
                <w:sz w:val="22"/>
                <w:szCs w:val="22"/>
              </w:rPr>
              <w:t>(see also 6-5 below)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:rsidR="00B02888" w:rsidRDefault="00250D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4083">
              <w:rPr>
                <w:sz w:val="22"/>
                <w:szCs w:val="22"/>
              </w:rPr>
              <w:t>oint analysis of barriers and risks related to women and girls’ access to programming</w:t>
            </w:r>
            <w:r>
              <w:rPr>
                <w:sz w:val="22"/>
                <w:szCs w:val="22"/>
              </w:rPr>
              <w:t xml:space="preserve"> will be conducted</w:t>
            </w:r>
            <w:r w:rsidR="007A4083">
              <w:rPr>
                <w:sz w:val="22"/>
                <w:szCs w:val="22"/>
              </w:rPr>
              <w:t xml:space="preserve"> in at least X sector(s) across at least X country(</w:t>
            </w:r>
            <w:proofErr w:type="spellStart"/>
            <w:r w:rsidR="007A4083">
              <w:rPr>
                <w:sz w:val="22"/>
                <w:szCs w:val="22"/>
              </w:rPr>
              <w:t>ies</w:t>
            </w:r>
            <w:proofErr w:type="spellEnd"/>
            <w:r w:rsidR="007A4083">
              <w:rPr>
                <w:sz w:val="22"/>
                <w:szCs w:val="22"/>
              </w:rPr>
              <w:t>)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02888">
        <w:tc>
          <w:tcPr>
            <w:tcW w:w="3116" w:type="dxa"/>
            <w:vMerge/>
          </w:tcPr>
          <w:p w:rsidR="00B02888" w:rsidRDefault="00B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When working with/through partners, to what degree is GBV risk mitigation taken into account in partnership agreements - proposal requirements, </w:t>
            </w:r>
            <w:proofErr w:type="spellStart"/>
            <w:r>
              <w:rPr>
                <w:color w:val="000000"/>
                <w:sz w:val="22"/>
                <w:szCs w:val="22"/>
              </w:rPr>
              <w:t>M&amp;E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requirements, etc.? What administrative ba</w:t>
            </w:r>
            <w:r>
              <w:rPr>
                <w:sz w:val="22"/>
                <w:szCs w:val="22"/>
              </w:rPr>
              <w:t xml:space="preserve">rriers may prevent partnership agreements from including GBV risk </w:t>
            </w:r>
            <w:r>
              <w:rPr>
                <w:sz w:val="22"/>
                <w:szCs w:val="22"/>
              </w:rPr>
              <w:t>mitigation-related actions?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14"/>
              </w:numPr>
              <w:ind w:left="36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X% of standard requirements for IP agreements will include GBV risk mitigation </w:t>
            </w:r>
          </w:p>
          <w:p w:rsidR="00B02888" w:rsidRDefault="00B02888">
            <w:pPr>
              <w:rPr>
                <w:sz w:val="22"/>
                <w:szCs w:val="22"/>
                <w:highlight w:val="white"/>
              </w:rPr>
            </w:pPr>
          </w:p>
          <w:p w:rsidR="00B02888" w:rsidRDefault="007A4083">
            <w:pPr>
              <w:numPr>
                <w:ilvl w:val="0"/>
                <w:numId w:val="14"/>
              </w:numPr>
              <w:ind w:left="36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X% of humanitarian programming partnership agreements will include at least X GBV risk mitigation actions</w:t>
            </w:r>
          </w:p>
        </w:tc>
      </w:tr>
      <w:tr w:rsidR="00B02888">
        <w:tc>
          <w:tcPr>
            <w:tcW w:w="3116" w:type="dxa"/>
          </w:tcPr>
          <w:p w:rsidR="00B02888" w:rsidRDefault="007A40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6-3 Gender Equality:</w:t>
            </w:r>
            <w:r>
              <w:rPr>
                <w:color w:val="000000"/>
                <w:sz w:val="22"/>
                <w:szCs w:val="22"/>
              </w:rPr>
              <w:t xml:space="preserve"> integrate appropriate targeted action to promote gender equality and empowerment of women and girls into preparedness, response, and recovery </w:t>
            </w:r>
            <w:r>
              <w:rPr>
                <w:color w:val="000000"/>
                <w:sz w:val="22"/>
                <w:szCs w:val="22"/>
              </w:rPr>
              <w:lastRenderedPageBreak/>
              <w:t>activities across all humanitarian sectors.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5"/>
              </w:numPr>
              <w:ind w:left="36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 what degree are GBV risks already being taken into account durin</w:t>
            </w:r>
            <w:r>
              <w:rPr>
                <w:sz w:val="22"/>
                <w:szCs w:val="22"/>
              </w:rPr>
              <w:t>g gender assessments? Can this be improved/systematized?</w:t>
            </w:r>
          </w:p>
        </w:tc>
        <w:tc>
          <w:tcPr>
            <w:tcW w:w="3117" w:type="dxa"/>
          </w:tcPr>
          <w:p w:rsidR="00B02888" w:rsidRDefault="00250D21">
            <w:pPr>
              <w:numPr>
                <w:ilvl w:val="0"/>
                <w:numId w:val="5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A4083">
              <w:rPr>
                <w:sz w:val="22"/>
                <w:szCs w:val="22"/>
              </w:rPr>
              <w:t xml:space="preserve"> gender review (including GBV and GBV risk considerations) </w:t>
            </w:r>
            <w:r>
              <w:rPr>
                <w:sz w:val="22"/>
                <w:szCs w:val="22"/>
              </w:rPr>
              <w:t>will be conducted in</w:t>
            </w:r>
            <w:r w:rsidR="007A40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100% of</w:t>
            </w:r>
            <w:r w:rsidR="007A4083">
              <w:rPr>
                <w:sz w:val="22"/>
                <w:szCs w:val="22"/>
              </w:rPr>
              <w:t xml:space="preserve"> [new] emergency response</w:t>
            </w:r>
            <w:r>
              <w:rPr>
                <w:sz w:val="22"/>
                <w:szCs w:val="22"/>
              </w:rPr>
              <w:t>s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  <w:p w:rsidR="00B02888" w:rsidRDefault="00250D21">
            <w:pPr>
              <w:numPr>
                <w:ilvl w:val="0"/>
                <w:numId w:val="5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A4083">
              <w:rPr>
                <w:sz w:val="22"/>
                <w:szCs w:val="22"/>
              </w:rPr>
              <w:t xml:space="preserve"> gender audit of sector programming and/or cluster </w:t>
            </w:r>
            <w:r w:rsidR="007A4083">
              <w:rPr>
                <w:sz w:val="22"/>
                <w:szCs w:val="22"/>
              </w:rPr>
              <w:lastRenderedPageBreak/>
              <w:t>operations</w:t>
            </w:r>
            <w:r>
              <w:rPr>
                <w:sz w:val="22"/>
                <w:szCs w:val="22"/>
              </w:rPr>
              <w:t xml:space="preserve"> will be conducted</w:t>
            </w:r>
            <w:r w:rsidR="007A4083">
              <w:rPr>
                <w:sz w:val="22"/>
                <w:szCs w:val="22"/>
              </w:rPr>
              <w:t xml:space="preserve"> in X cluster(s)/sector(s</w:t>
            </w:r>
            <w:proofErr w:type="gramStart"/>
            <w:r w:rsidR="007A4083">
              <w:rPr>
                <w:sz w:val="22"/>
                <w:szCs w:val="22"/>
              </w:rPr>
              <w:t>)</w:t>
            </w:r>
            <w:r w:rsidR="007A4083">
              <w:rPr>
                <w:i/>
                <w:sz w:val="22"/>
                <w:szCs w:val="22"/>
              </w:rPr>
              <w:t>(</w:t>
            </w:r>
            <w:proofErr w:type="gramEnd"/>
            <w:r w:rsidR="007A4083">
              <w:rPr>
                <w:i/>
                <w:sz w:val="22"/>
                <w:szCs w:val="22"/>
              </w:rPr>
              <w:t>see also 6-4, below)</w:t>
            </w:r>
          </w:p>
          <w:p w:rsidR="00B02888" w:rsidRDefault="00B02888">
            <w:pPr>
              <w:rPr>
                <w:i/>
                <w:sz w:val="22"/>
                <w:szCs w:val="22"/>
              </w:rPr>
            </w:pPr>
          </w:p>
        </w:tc>
      </w:tr>
      <w:tr w:rsidR="00B02888">
        <w:tc>
          <w:tcPr>
            <w:tcW w:w="3116" w:type="dxa"/>
          </w:tcPr>
          <w:p w:rsidR="00B02888" w:rsidRDefault="007A40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6-4 Consultation: </w:t>
            </w:r>
            <w:r>
              <w:rPr>
                <w:color w:val="000000"/>
                <w:sz w:val="22"/>
                <w:szCs w:val="22"/>
              </w:rPr>
              <w:t>Regularly consult with women and girls and other at-risk populations to understand their specific needs and priorities, as well as any barriers and/or risks they face in accessing services; work with them to design safe and effective interventions across a</w:t>
            </w:r>
            <w:r>
              <w:rPr>
                <w:color w:val="000000"/>
                <w:sz w:val="22"/>
                <w:szCs w:val="22"/>
              </w:rPr>
              <w:t>ll humanitarian sectors.</w:t>
            </w:r>
          </w:p>
          <w:p w:rsidR="00B02888" w:rsidRDefault="00B02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what degree are consultations with women and girls incorporated into standard </w:t>
            </w:r>
            <w:proofErr w:type="spellStart"/>
            <w:r>
              <w:rPr>
                <w:sz w:val="22"/>
                <w:szCs w:val="22"/>
              </w:rPr>
              <w:t>M&amp;E</w:t>
            </w:r>
            <w:proofErr w:type="spellEnd"/>
            <w:r>
              <w:rPr>
                <w:sz w:val="22"/>
                <w:szCs w:val="22"/>
              </w:rPr>
              <w:t xml:space="preserve"> processes? (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., field monitoring checklists, etc.?) If so, do these consultations ethically address questions related to perceptions of safety?</w:t>
            </w:r>
          </w:p>
        </w:tc>
        <w:tc>
          <w:tcPr>
            <w:tcW w:w="3117" w:type="dxa"/>
          </w:tcPr>
          <w:p w:rsidR="00B02888" w:rsidRDefault="00250D21">
            <w:pPr>
              <w:numPr>
                <w:ilvl w:val="0"/>
                <w:numId w:val="7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A4083">
              <w:rPr>
                <w:sz w:val="22"/>
                <w:szCs w:val="22"/>
              </w:rPr>
              <w:t xml:space="preserve">t least X% of [SECTOR] staff </w:t>
            </w:r>
            <w:r>
              <w:rPr>
                <w:sz w:val="22"/>
                <w:szCs w:val="22"/>
              </w:rPr>
              <w:t xml:space="preserve">will be trained </w:t>
            </w:r>
            <w:r w:rsidR="007A4083">
              <w:rPr>
                <w:sz w:val="22"/>
                <w:szCs w:val="22"/>
              </w:rPr>
              <w:t>on GBV-related assessments and/or conducting consultations with women and girls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  <w:p w:rsidR="00B02888" w:rsidRDefault="00250D21">
            <w:pPr>
              <w:numPr>
                <w:ilvl w:val="0"/>
                <w:numId w:val="7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 w:rsidR="007A4083">
              <w:rPr>
                <w:sz w:val="22"/>
                <w:szCs w:val="22"/>
              </w:rPr>
              <w:t xml:space="preserve"> least X female staff</w:t>
            </w:r>
            <w:r>
              <w:rPr>
                <w:sz w:val="22"/>
                <w:szCs w:val="22"/>
              </w:rPr>
              <w:t xml:space="preserve"> will be part of</w:t>
            </w:r>
            <w:r w:rsidR="007A4083">
              <w:rPr>
                <w:sz w:val="22"/>
                <w:szCs w:val="22"/>
              </w:rPr>
              <w:t xml:space="preserve"> all teams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  <w:p w:rsidR="00B02888" w:rsidRDefault="00250D21">
            <w:pPr>
              <w:numPr>
                <w:ilvl w:val="0"/>
                <w:numId w:val="7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X</w:t>
            </w:r>
            <w:r w:rsidR="007A4083">
              <w:rPr>
                <w:sz w:val="22"/>
                <w:szCs w:val="22"/>
                <w:highlight w:val="white"/>
              </w:rPr>
              <w:t>% of AAP strategies will</w:t>
            </w:r>
            <w:r w:rsidR="007A4083">
              <w:rPr>
                <w:sz w:val="22"/>
                <w:szCs w:val="22"/>
                <w:highlight w:val="white"/>
              </w:rPr>
              <w:t xml:space="preserve"> include a clear plan for engaging with women/girls and/or local wome</w:t>
            </w:r>
            <w:r w:rsidR="007A4083">
              <w:rPr>
                <w:sz w:val="22"/>
                <w:szCs w:val="22"/>
                <w:highlight w:val="white"/>
              </w:rPr>
              <w:t>n's organizations.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  <w:p w:rsidR="00B02888" w:rsidRDefault="00250D2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7A4083">
              <w:rPr>
                <w:color w:val="000000"/>
                <w:sz w:val="22"/>
                <w:szCs w:val="22"/>
              </w:rPr>
              <w:t xml:space="preserve">% of </w:t>
            </w:r>
            <w:r w:rsidR="007A4083">
              <w:rPr>
                <w:sz w:val="22"/>
                <w:szCs w:val="22"/>
              </w:rPr>
              <w:t>p</w:t>
            </w:r>
            <w:r w:rsidR="007A4083">
              <w:rPr>
                <w:sz w:val="22"/>
                <w:szCs w:val="22"/>
              </w:rPr>
              <w:t xml:space="preserve">rogram design </w:t>
            </w:r>
            <w:r w:rsidR="007A4083">
              <w:rPr>
                <w:color w:val="000000"/>
                <w:sz w:val="22"/>
                <w:szCs w:val="22"/>
              </w:rPr>
              <w:t xml:space="preserve">tools/processes etc. </w:t>
            </w:r>
            <w:r w:rsidR="007A4083">
              <w:rPr>
                <w:sz w:val="22"/>
                <w:szCs w:val="22"/>
              </w:rPr>
              <w:t xml:space="preserve">will </w:t>
            </w:r>
            <w:r w:rsidR="007A4083">
              <w:rPr>
                <w:color w:val="000000"/>
                <w:sz w:val="22"/>
                <w:szCs w:val="22"/>
              </w:rPr>
              <w:t xml:space="preserve">incorporate feedback provided by women/girls and/or women’s </w:t>
            </w:r>
            <w:r w:rsidR="007A4083">
              <w:rPr>
                <w:color w:val="000000"/>
                <w:sz w:val="22"/>
                <w:szCs w:val="22"/>
              </w:rPr>
              <w:t xml:space="preserve">groups </w:t>
            </w:r>
            <w:r w:rsidR="007A4083">
              <w:rPr>
                <w:i/>
                <w:color w:val="000000"/>
                <w:sz w:val="22"/>
                <w:szCs w:val="22"/>
              </w:rPr>
              <w:t>(see also 6-5 below)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i/>
                <w:sz w:val="22"/>
                <w:szCs w:val="22"/>
              </w:rPr>
            </w:pPr>
          </w:p>
          <w:p w:rsidR="00B02888" w:rsidRDefault="00250D2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X</w:t>
            </w:r>
            <w:r w:rsidR="007A4083">
              <w:rPr>
                <w:sz w:val="22"/>
                <w:szCs w:val="22"/>
                <w:highlight w:val="white"/>
              </w:rPr>
              <w:t>% of standard data collection methodologies will include requirements for consultations with women and girls.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  <w:p w:rsidR="00B02888" w:rsidRDefault="007A4083" w:rsidP="00250D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For </w:t>
            </w:r>
            <w:proofErr w:type="spellStart"/>
            <w:r>
              <w:rPr>
                <w:i/>
                <w:sz w:val="22"/>
                <w:szCs w:val="22"/>
              </w:rPr>
              <w:t>CLAs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color w:val="000000"/>
                <w:sz w:val="22"/>
                <w:szCs w:val="22"/>
              </w:rPr>
              <w:t>sector-lead agencies</w:t>
            </w:r>
            <w:r>
              <w:rPr>
                <w:sz w:val="22"/>
                <w:szCs w:val="22"/>
              </w:rPr>
              <w:t xml:space="preserve">: </w:t>
            </w:r>
            <w:r w:rsidR="00250D21">
              <w:rPr>
                <w:color w:val="000000"/>
                <w:sz w:val="22"/>
                <w:szCs w:val="22"/>
              </w:rPr>
              <w:t xml:space="preserve">consultations with women and girls will be </w:t>
            </w:r>
            <w:proofErr w:type="spellStart"/>
            <w:r w:rsidR="00250D21">
              <w:rPr>
                <w:color w:val="000000"/>
                <w:sz w:val="22"/>
                <w:szCs w:val="22"/>
              </w:rPr>
              <w:t>u</w:t>
            </w:r>
            <w:r w:rsidR="00250D21">
              <w:rPr>
                <w:sz w:val="22"/>
                <w:szCs w:val="22"/>
              </w:rPr>
              <w:t>tilised</w:t>
            </w:r>
            <w:proofErr w:type="spellEnd"/>
            <w:r w:rsidR="00250D21">
              <w:rPr>
                <w:color w:val="000000"/>
                <w:sz w:val="22"/>
                <w:szCs w:val="22"/>
              </w:rPr>
              <w:t xml:space="preserve"> as part of </w:t>
            </w:r>
            <w:r w:rsidR="00250D21">
              <w:rPr>
                <w:color w:val="000000"/>
                <w:sz w:val="22"/>
                <w:szCs w:val="22"/>
              </w:rPr>
              <w:t xml:space="preserve">the </w:t>
            </w:r>
            <w:r w:rsidR="00250D21">
              <w:rPr>
                <w:color w:val="000000"/>
                <w:sz w:val="22"/>
                <w:szCs w:val="22"/>
              </w:rPr>
              <w:t>methodology for data collection/analysis</w:t>
            </w:r>
            <w:r w:rsidR="00250D21">
              <w:rPr>
                <w:color w:val="000000"/>
                <w:sz w:val="22"/>
                <w:szCs w:val="22"/>
              </w:rPr>
              <w:t xml:space="preserve"> in X</w:t>
            </w:r>
            <w:r>
              <w:rPr>
                <w:color w:val="000000"/>
                <w:sz w:val="22"/>
                <w:szCs w:val="22"/>
              </w:rPr>
              <w:t xml:space="preserve">% of </w:t>
            </w:r>
            <w:r w:rsidR="00250D21">
              <w:rPr>
                <w:color w:val="000000"/>
                <w:sz w:val="22"/>
                <w:szCs w:val="22"/>
              </w:rPr>
              <w:t xml:space="preserve">all </w:t>
            </w:r>
            <w:proofErr w:type="spellStart"/>
            <w:r>
              <w:rPr>
                <w:color w:val="000000"/>
                <w:sz w:val="22"/>
                <w:szCs w:val="22"/>
              </w:rPr>
              <w:t>HNOs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RRPs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="00250D21">
              <w:rPr>
                <w:color w:val="000000"/>
                <w:sz w:val="22"/>
                <w:szCs w:val="22"/>
              </w:rPr>
              <w:t>for</w:t>
            </w:r>
            <w:r>
              <w:rPr>
                <w:color w:val="000000"/>
                <w:sz w:val="22"/>
                <w:szCs w:val="22"/>
              </w:rPr>
              <w:t xml:space="preserve"> the cluster</w:t>
            </w:r>
            <w:r w:rsidR="00250D21">
              <w:rPr>
                <w:color w:val="000000"/>
                <w:sz w:val="22"/>
                <w:szCs w:val="22"/>
              </w:rPr>
              <w:t>(s)</w:t>
            </w:r>
            <w:r>
              <w:rPr>
                <w:color w:val="000000"/>
                <w:sz w:val="22"/>
                <w:szCs w:val="22"/>
              </w:rPr>
              <w:t xml:space="preserve">/sector(s) led by the agency) </w:t>
            </w:r>
          </w:p>
          <w:p w:rsidR="00250D21" w:rsidRDefault="00250D21" w:rsidP="0025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02888">
        <w:tc>
          <w:tcPr>
            <w:tcW w:w="3116" w:type="dxa"/>
          </w:tcPr>
          <w:p w:rsidR="00B02888" w:rsidRDefault="007A40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6-5 Localization:</w:t>
            </w:r>
            <w:r>
              <w:rPr>
                <w:color w:val="000000"/>
                <w:sz w:val="22"/>
                <w:szCs w:val="22"/>
              </w:rPr>
              <w:t xml:space="preserve"> Support local actors, particularly women’s </w:t>
            </w:r>
            <w:r>
              <w:rPr>
                <w:color w:val="000000"/>
                <w:sz w:val="22"/>
                <w:szCs w:val="22"/>
              </w:rPr>
              <w:lastRenderedPageBreak/>
              <w:t>organizations, to lead on/integrate GBV risk mitigation into program design and implementation across all sectors</w:t>
            </w:r>
          </w:p>
          <w:p w:rsidR="00B02888" w:rsidRDefault="00B02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How can our commitments support the transfer of </w:t>
            </w:r>
            <w:r>
              <w:rPr>
                <w:color w:val="000000"/>
                <w:sz w:val="22"/>
                <w:szCs w:val="22"/>
              </w:rPr>
              <w:lastRenderedPageBreak/>
              <w:t>power to local organizations, particularly women-</w:t>
            </w:r>
            <w:r>
              <w:rPr>
                <w:color w:val="000000"/>
                <w:sz w:val="22"/>
                <w:szCs w:val="22"/>
              </w:rPr>
              <w:t>led, women-focused organizations?</w:t>
            </w:r>
          </w:p>
        </w:tc>
        <w:tc>
          <w:tcPr>
            <w:tcW w:w="3117" w:type="dxa"/>
          </w:tcPr>
          <w:p w:rsidR="00B02888" w:rsidRDefault="00250D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X</w:t>
            </w:r>
            <w:r w:rsidR="007A4083">
              <w:rPr>
                <w:color w:val="000000"/>
                <w:sz w:val="22"/>
                <w:szCs w:val="22"/>
              </w:rPr>
              <w:t>% of safety audits</w:t>
            </w:r>
            <w:r w:rsidR="007A4083">
              <w:rPr>
                <w:sz w:val="22"/>
                <w:szCs w:val="22"/>
              </w:rPr>
              <w:t xml:space="preserve"> and/or other GBV risk assessment </w:t>
            </w:r>
            <w:r w:rsidR="007A4083">
              <w:rPr>
                <w:sz w:val="22"/>
                <w:szCs w:val="22"/>
              </w:rPr>
              <w:lastRenderedPageBreak/>
              <w:t>exercises</w:t>
            </w:r>
            <w:r w:rsidR="007A40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will be </w:t>
            </w:r>
            <w:r w:rsidR="007A4083">
              <w:rPr>
                <w:sz w:val="22"/>
                <w:szCs w:val="22"/>
              </w:rPr>
              <w:t>led by or conducted in partnership wit</w:t>
            </w:r>
            <w:r w:rsidR="007A4083">
              <w:rPr>
                <w:color w:val="000000"/>
                <w:sz w:val="22"/>
                <w:szCs w:val="22"/>
              </w:rPr>
              <w:t>h local women’s organizations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By [YEAR], </w:t>
            </w:r>
            <w:r w:rsidR="00250D21">
              <w:rPr>
                <w:sz w:val="22"/>
                <w:szCs w:val="22"/>
                <w:highlight w:val="white"/>
              </w:rPr>
              <w:t>X</w:t>
            </w:r>
            <w:r>
              <w:rPr>
                <w:sz w:val="22"/>
                <w:szCs w:val="22"/>
                <w:highlight w:val="white"/>
              </w:rPr>
              <w:t xml:space="preserve">% of program plans and strategies will be informed by </w:t>
            </w:r>
            <w:proofErr w:type="spellStart"/>
            <w:r>
              <w:rPr>
                <w:sz w:val="22"/>
                <w:szCs w:val="22"/>
                <w:highlight w:val="white"/>
              </w:rPr>
              <w:t>WLOs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technical advice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</w:p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By [YEAR], </w:t>
            </w:r>
            <w:r w:rsidR="00250D21">
              <w:rPr>
                <w:sz w:val="22"/>
                <w:szCs w:val="22"/>
                <w:highlight w:val="white"/>
              </w:rPr>
              <w:t>X</w:t>
            </w:r>
            <w:r>
              <w:rPr>
                <w:sz w:val="22"/>
                <w:szCs w:val="22"/>
                <w:highlight w:val="white"/>
              </w:rPr>
              <w:t xml:space="preserve">% of GBV risk mitigation capacity development plans will be led by </w:t>
            </w:r>
            <w:proofErr w:type="spellStart"/>
            <w:r>
              <w:rPr>
                <w:sz w:val="22"/>
                <w:szCs w:val="22"/>
                <w:highlight w:val="white"/>
              </w:rPr>
              <w:t>WR</w:t>
            </w:r>
            <w:proofErr w:type="spellEnd"/>
            <w:r>
              <w:rPr>
                <w:sz w:val="22"/>
                <w:szCs w:val="22"/>
                <w:highlight w:val="white"/>
              </w:rPr>
              <w:t>/</w:t>
            </w:r>
            <w:proofErr w:type="spellStart"/>
            <w:r>
              <w:rPr>
                <w:sz w:val="22"/>
                <w:szCs w:val="22"/>
                <w:highlight w:val="white"/>
              </w:rPr>
              <w:t>WLOs</w:t>
            </w:r>
            <w:proofErr w:type="spellEnd"/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  <w:highlight w:val="white"/>
              </w:rPr>
            </w:pPr>
          </w:p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i/>
                <w:sz w:val="22"/>
                <w:szCs w:val="22"/>
                <w:highlight w:val="white"/>
              </w:rPr>
              <w:t xml:space="preserve">For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CLAs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/sector lead agencies: </w:t>
            </w:r>
            <w:r>
              <w:rPr>
                <w:sz w:val="22"/>
                <w:szCs w:val="22"/>
                <w:highlight w:val="white"/>
              </w:rPr>
              <w:t>By [YEAR], X% of Strategic Advisory Groups (</w:t>
            </w:r>
            <w:proofErr w:type="spellStart"/>
            <w:r>
              <w:rPr>
                <w:sz w:val="22"/>
                <w:szCs w:val="22"/>
                <w:highlight w:val="white"/>
              </w:rPr>
              <w:t>SAGs</w:t>
            </w:r>
            <w:proofErr w:type="spellEnd"/>
            <w:r>
              <w:rPr>
                <w:sz w:val="22"/>
                <w:szCs w:val="22"/>
                <w:highlight w:val="white"/>
              </w:rPr>
              <w:t>) for X clust</w:t>
            </w:r>
            <w:r>
              <w:rPr>
                <w:sz w:val="22"/>
                <w:szCs w:val="22"/>
                <w:highlight w:val="white"/>
              </w:rPr>
              <w:t>er/sector(s) will include local women’s organizations as members</w:t>
            </w:r>
            <w:r>
              <w:rPr>
                <w:sz w:val="22"/>
                <w:szCs w:val="22"/>
                <w:highlight w:val="white"/>
              </w:rPr>
              <w:br/>
            </w:r>
          </w:p>
        </w:tc>
      </w:tr>
      <w:tr w:rsidR="00B02888">
        <w:trPr>
          <w:trHeight w:val="1682"/>
        </w:trPr>
        <w:tc>
          <w:tcPr>
            <w:tcW w:w="3116" w:type="dxa"/>
            <w:vMerge w:val="restart"/>
          </w:tcPr>
          <w:p w:rsidR="00B02888" w:rsidRDefault="007A40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6-6 Resources:</w:t>
            </w:r>
            <w:r>
              <w:rPr>
                <w:color w:val="000000"/>
                <w:sz w:val="22"/>
                <w:szCs w:val="22"/>
              </w:rPr>
              <w:t xml:space="preserve"> Allocate human and financial resources to support GBV risk mitigation activities in humanitarian programming across all sectors. </w:t>
            </w:r>
          </w:p>
          <w:p w:rsidR="00B02888" w:rsidRDefault="00B0288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2888" w:rsidRDefault="00B02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what degree, if any, do our funding proposals – regardless of sector – already include GBV risk analysis, risk mitigatio</w:t>
            </w:r>
            <w:r>
              <w:rPr>
                <w:color w:val="000000"/>
                <w:sz w:val="22"/>
                <w:szCs w:val="22"/>
              </w:rPr>
              <w:t xml:space="preserve">n activities, indicators and sufficient budgets? 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proofErr w:type="spellStart"/>
            <w:r>
              <w:rPr>
                <w:sz w:val="22"/>
                <w:szCs w:val="22"/>
              </w:rPr>
              <w:t>CLAs</w:t>
            </w:r>
            <w:proofErr w:type="spellEnd"/>
            <w:r>
              <w:rPr>
                <w:sz w:val="22"/>
                <w:szCs w:val="22"/>
              </w:rPr>
              <w:t>/sector leads: how can cluster/sector funding allocation strategies be used to support integration of GBV risk mitigation actions in cluster/sector work?</w:t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[YEAR], </w:t>
            </w:r>
            <w:r>
              <w:rPr>
                <w:color w:val="000000"/>
                <w:sz w:val="22"/>
                <w:szCs w:val="22"/>
              </w:rPr>
              <w:t>X% of all proposal submissions, regardless of sector, will include GBV risks in the</w:t>
            </w:r>
            <w:r>
              <w:rPr>
                <w:color w:val="000000"/>
                <w:sz w:val="22"/>
                <w:szCs w:val="22"/>
              </w:rPr>
              <w:t xml:space="preserve"> needs analysis; specific mitigation measures in the objectives and activities; at least one GBV risk mitigation indicator and sufficient budget for risk mitigation activities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white"/>
              </w:rPr>
              <w:t xml:space="preserve">For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CLAs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/sector lead agencies: </w:t>
            </w:r>
            <w:r w:rsidR="00250D21" w:rsidRPr="00250D21">
              <w:rPr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% of cluster/sector funding allocation strategie</w:t>
            </w:r>
            <w:r>
              <w:rPr>
                <w:sz w:val="22"/>
                <w:szCs w:val="22"/>
              </w:rPr>
              <w:t>s will include at least X% allocation to GBV risk mitigation actions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12"/>
              </w:numPr>
              <w:spacing w:line="259" w:lineRule="auto"/>
              <w:ind w:left="360" w:hanging="27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white"/>
              </w:rPr>
              <w:t xml:space="preserve">For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CLAs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>/sector lead agencies:</w:t>
            </w:r>
            <w:r>
              <w:rPr>
                <w:sz w:val="22"/>
                <w:szCs w:val="22"/>
              </w:rPr>
              <w:t xml:space="preserve"> X% of the earliest drafts of CERF and flash appeals for X cluster(s)/ </w:t>
            </w:r>
            <w:r>
              <w:rPr>
                <w:sz w:val="22"/>
                <w:szCs w:val="22"/>
              </w:rPr>
              <w:lastRenderedPageBreak/>
              <w:t xml:space="preserve">sector(s) include GBV risk mitigation actions </w:t>
            </w:r>
            <w:r>
              <w:rPr>
                <w:i/>
                <w:sz w:val="22"/>
                <w:szCs w:val="22"/>
              </w:rPr>
              <w:t>(see also 6-7, below)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02888">
        <w:trPr>
          <w:trHeight w:val="1681"/>
        </w:trPr>
        <w:tc>
          <w:tcPr>
            <w:tcW w:w="3116" w:type="dxa"/>
            <w:vMerge/>
          </w:tcPr>
          <w:p w:rsidR="00B02888" w:rsidRDefault="00B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[Related to the point immediately above]: </w:t>
            </w:r>
            <w:r>
              <w:rPr>
                <w:color w:val="000000"/>
                <w:sz w:val="22"/>
                <w:szCs w:val="22"/>
              </w:rPr>
              <w:t xml:space="preserve">Using the CTA platform, can interested agencies consider undertaking collective advocacy to donors to require that all proposals for funding address how the action proposed will contribute </w:t>
            </w:r>
            <w:proofErr w:type="gramStart"/>
            <w:r>
              <w:rPr>
                <w:color w:val="000000"/>
                <w:sz w:val="22"/>
                <w:szCs w:val="22"/>
              </w:rPr>
              <w:t>to  GBV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risk mitigation, in line with the GBV Guidelines?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B02888">
            <w:pPr>
              <w:rPr>
                <w:color w:val="000000"/>
                <w:sz w:val="22"/>
                <w:szCs w:val="22"/>
              </w:rPr>
            </w:pPr>
          </w:p>
        </w:tc>
      </w:tr>
      <w:tr w:rsidR="00B02888">
        <w:trPr>
          <w:trHeight w:val="1681"/>
        </w:trPr>
        <w:tc>
          <w:tcPr>
            <w:tcW w:w="3116" w:type="dxa"/>
            <w:vMerge/>
          </w:tcPr>
          <w:p w:rsidR="00B02888" w:rsidRDefault="00B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 agencies with sector(s)-specific programming: could a % of the total sector funds be required to focus on GBV risk mitigation? </w:t>
            </w:r>
            <w:r>
              <w:rPr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note: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the</w:t>
            </w:r>
            <w:r>
              <w:rPr>
                <w:i/>
                <w:sz w:val="22"/>
                <w:szCs w:val="22"/>
              </w:rPr>
              <w:t>ses</w:t>
            </w:r>
            <w:proofErr w:type="spellEnd"/>
            <w:r>
              <w:rPr>
                <w:i/>
                <w:sz w:val="22"/>
                <w:szCs w:val="22"/>
              </w:rPr>
              <w:t xml:space="preserve"> funds should not be diverted from GBV specialized program funding)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250D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7A4083">
              <w:rPr>
                <w:color w:val="000000"/>
                <w:sz w:val="22"/>
                <w:szCs w:val="22"/>
              </w:rPr>
              <w:t>% of total program-level</w:t>
            </w:r>
            <w:r w:rsidR="007A4083">
              <w:rPr>
                <w:sz w:val="22"/>
                <w:szCs w:val="22"/>
              </w:rPr>
              <w:t>,</w:t>
            </w:r>
            <w:r w:rsidR="007A4083">
              <w:rPr>
                <w:color w:val="000000"/>
                <w:sz w:val="22"/>
                <w:szCs w:val="22"/>
              </w:rPr>
              <w:t xml:space="preserve"> </w:t>
            </w:r>
            <w:r w:rsidR="007A4083">
              <w:rPr>
                <w:sz w:val="22"/>
                <w:szCs w:val="22"/>
              </w:rPr>
              <w:t>s</w:t>
            </w:r>
            <w:r w:rsidR="007A4083">
              <w:rPr>
                <w:color w:val="000000"/>
                <w:sz w:val="22"/>
                <w:szCs w:val="22"/>
              </w:rPr>
              <w:t>ector-specific f</w:t>
            </w:r>
            <w:r w:rsidR="007A4083">
              <w:rPr>
                <w:color w:val="000000"/>
                <w:sz w:val="22"/>
                <w:szCs w:val="22"/>
              </w:rPr>
              <w:t>unds</w:t>
            </w:r>
            <w:r>
              <w:rPr>
                <w:color w:val="000000"/>
                <w:sz w:val="22"/>
                <w:szCs w:val="22"/>
              </w:rPr>
              <w:t xml:space="preserve"> will be</w:t>
            </w:r>
            <w:r w:rsidR="007A4083">
              <w:rPr>
                <w:color w:val="000000"/>
                <w:sz w:val="22"/>
                <w:szCs w:val="22"/>
              </w:rPr>
              <w:t xml:space="preserve"> used by agency X/sector Y for GBV risk mitigation-related activities</w:t>
            </w:r>
          </w:p>
        </w:tc>
      </w:tr>
      <w:tr w:rsidR="00B02888">
        <w:trPr>
          <w:trHeight w:val="1681"/>
        </w:trPr>
        <w:tc>
          <w:tcPr>
            <w:tcW w:w="3116" w:type="dxa"/>
            <w:vMerge/>
          </w:tcPr>
          <w:p w:rsidR="00B02888" w:rsidRDefault="00B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Specifically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color w:val="000000"/>
                <w:sz w:val="22"/>
                <w:szCs w:val="22"/>
              </w:rPr>
              <w:t>CLAs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/sector leads: how can GBV risk mitigation best be reflected in the annual </w:t>
            </w:r>
            <w:proofErr w:type="spellStart"/>
            <w:r>
              <w:rPr>
                <w:color w:val="000000"/>
                <w:sz w:val="22"/>
                <w:szCs w:val="22"/>
              </w:rPr>
              <w:t>HNO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HRP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</w:rPr>
              <w:t>RRP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processes?</w:t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white"/>
              </w:rPr>
              <w:t xml:space="preserve">For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CLAs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>/sector lead agencies:</w:t>
            </w:r>
            <w:r w:rsidR="00250D21">
              <w:rPr>
                <w:i/>
                <w:sz w:val="22"/>
                <w:szCs w:val="22"/>
                <w:highlight w:val="white"/>
              </w:rPr>
              <w:t xml:space="preserve"> </w:t>
            </w:r>
            <w:r w:rsidR="00250D21" w:rsidRPr="00250D21">
              <w:rPr>
                <w:iCs/>
                <w:sz w:val="22"/>
                <w:szCs w:val="22"/>
                <w:highlight w:val="white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% of </w:t>
            </w:r>
            <w:proofErr w:type="spellStart"/>
            <w:r>
              <w:rPr>
                <w:color w:val="000000"/>
                <w:sz w:val="22"/>
                <w:szCs w:val="22"/>
              </w:rPr>
              <w:t>HNOs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for X cluster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50D21">
              <w:rPr>
                <w:color w:val="000000"/>
                <w:sz w:val="22"/>
                <w:szCs w:val="22"/>
              </w:rPr>
              <w:t>will</w:t>
            </w:r>
            <w:r>
              <w:rPr>
                <w:color w:val="000000"/>
                <w:sz w:val="22"/>
                <w:szCs w:val="22"/>
              </w:rPr>
              <w:t xml:space="preserve"> incorporate GBV risk assessment and analysis 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white"/>
              </w:rPr>
              <w:t xml:space="preserve">For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CLAs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/sector lead agencies: </w:t>
            </w:r>
            <w:r w:rsidR="00250D21">
              <w:rPr>
                <w:iCs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% of </w:t>
            </w:r>
            <w:proofErr w:type="spellStart"/>
            <w:r>
              <w:rPr>
                <w:color w:val="000000"/>
                <w:sz w:val="22"/>
                <w:szCs w:val="22"/>
              </w:rPr>
              <w:t>HRPs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RRPs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for X cluster/sector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will  </w:t>
            </w:r>
            <w:r>
              <w:rPr>
                <w:sz w:val="22"/>
                <w:szCs w:val="22"/>
              </w:rPr>
              <w:t>include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GBV risk mitigation</w:t>
            </w:r>
            <w:r>
              <w:rPr>
                <w:sz w:val="22"/>
                <w:szCs w:val="22"/>
              </w:rPr>
              <w:t xml:space="preserve"> actions and indicators in their cluster/sector-specific response plans</w:t>
            </w:r>
          </w:p>
          <w:p w:rsidR="00B02888" w:rsidRDefault="00B0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02888">
        <w:tc>
          <w:tcPr>
            <w:tcW w:w="3116" w:type="dxa"/>
          </w:tcPr>
          <w:p w:rsidR="00B02888" w:rsidRDefault="007A40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6-7 Advocacy:</w:t>
            </w:r>
            <w:r>
              <w:rPr>
                <w:color w:val="000000"/>
                <w:sz w:val="22"/>
                <w:szCs w:val="22"/>
              </w:rPr>
              <w:t xml:space="preserve"> Advocate for th</w:t>
            </w:r>
            <w:r>
              <w:rPr>
                <w:color w:val="000000"/>
                <w:sz w:val="22"/>
                <w:szCs w:val="22"/>
              </w:rPr>
              <w:t xml:space="preserve">e integration of GBV risk mitigation actions as a standard component of humanitarian </w:t>
            </w:r>
            <w:r>
              <w:rPr>
                <w:color w:val="000000"/>
                <w:sz w:val="22"/>
                <w:szCs w:val="22"/>
              </w:rPr>
              <w:lastRenderedPageBreak/>
              <w:t>program design and implementation across all sectors.</w:t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What can individual member agencies of the </w:t>
            </w:r>
            <w:proofErr w:type="spellStart"/>
            <w:r>
              <w:rPr>
                <w:color w:val="000000"/>
                <w:sz w:val="22"/>
                <w:szCs w:val="22"/>
              </w:rPr>
              <w:t>HCT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ICWG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advocate</w:t>
            </w:r>
            <w:r>
              <w:rPr>
                <w:color w:val="000000"/>
                <w:sz w:val="22"/>
                <w:szCs w:val="22"/>
              </w:rPr>
              <w:t xml:space="preserve"> for and do vis à vis GBV risk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mitigation through their participation in the </w:t>
            </w:r>
            <w:proofErr w:type="spellStart"/>
            <w:r>
              <w:rPr>
                <w:color w:val="000000"/>
                <w:sz w:val="22"/>
                <w:szCs w:val="22"/>
              </w:rPr>
              <w:t>HCT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ICWG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3117" w:type="dxa"/>
          </w:tcPr>
          <w:p w:rsidR="00B02888" w:rsidRDefault="007A4083">
            <w:pPr>
              <w:numPr>
                <w:ilvl w:val="0"/>
                <w:numId w:val="3"/>
              </w:numPr>
              <w:ind w:left="36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Undertake advocacy (collective with other </w:t>
            </w:r>
            <w:proofErr w:type="spellStart"/>
            <w:r>
              <w:rPr>
                <w:sz w:val="22"/>
                <w:szCs w:val="22"/>
              </w:rPr>
              <w:t>HCT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ICWG</w:t>
            </w:r>
            <w:proofErr w:type="spellEnd"/>
            <w:r>
              <w:rPr>
                <w:sz w:val="22"/>
                <w:szCs w:val="22"/>
              </w:rPr>
              <w:t xml:space="preserve"> member agencies where possible) in </w:t>
            </w:r>
            <w:r>
              <w:rPr>
                <w:sz w:val="22"/>
                <w:szCs w:val="22"/>
              </w:rPr>
              <w:lastRenderedPageBreak/>
              <w:t xml:space="preserve">100% of </w:t>
            </w:r>
            <w:proofErr w:type="spellStart"/>
            <w:r>
              <w:rPr>
                <w:sz w:val="22"/>
                <w:szCs w:val="22"/>
              </w:rPr>
              <w:t>HCTs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ICWGs</w:t>
            </w:r>
            <w:proofErr w:type="spellEnd"/>
            <w:r>
              <w:rPr>
                <w:sz w:val="22"/>
                <w:szCs w:val="22"/>
              </w:rPr>
              <w:t xml:space="preserve"> of which [AGENCY] is a member to ensure that GBV risk mitigation</w:t>
            </w:r>
            <w:r>
              <w:rPr>
                <w:sz w:val="22"/>
                <w:szCs w:val="22"/>
              </w:rPr>
              <w:t xml:space="preserve"> is a priority area of focus for the </w:t>
            </w:r>
            <w:proofErr w:type="spellStart"/>
            <w:r>
              <w:rPr>
                <w:sz w:val="22"/>
                <w:szCs w:val="22"/>
              </w:rPr>
              <w:t>HCT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ICWG</w:t>
            </w:r>
            <w:proofErr w:type="spellEnd"/>
            <w:r>
              <w:rPr>
                <w:sz w:val="22"/>
                <w:szCs w:val="22"/>
              </w:rPr>
              <w:t xml:space="preserve"> (for example - using the </w:t>
            </w:r>
            <w:proofErr w:type="spellStart"/>
            <w:r>
              <w:rPr>
                <w:sz w:val="22"/>
                <w:szCs w:val="22"/>
              </w:rPr>
              <w:t>HCT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ICWG</w:t>
            </w:r>
            <w:proofErr w:type="spellEnd"/>
            <w:r>
              <w:rPr>
                <w:sz w:val="22"/>
                <w:szCs w:val="22"/>
              </w:rPr>
              <w:t xml:space="preserve"> as a platform for sharing learning/good practice on GBV risk mitigation)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  <w:p w:rsidR="00B02888" w:rsidRDefault="007A4083">
            <w:pPr>
              <w:numPr>
                <w:ilvl w:val="0"/>
                <w:numId w:val="3"/>
              </w:numPr>
              <w:ind w:left="36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Undertake advocacy (collective with other </w:t>
            </w:r>
            <w:proofErr w:type="spellStart"/>
            <w:r>
              <w:rPr>
                <w:sz w:val="22"/>
                <w:szCs w:val="22"/>
              </w:rPr>
              <w:t>HCT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ICWG</w:t>
            </w:r>
            <w:proofErr w:type="spellEnd"/>
            <w:r>
              <w:rPr>
                <w:sz w:val="22"/>
                <w:szCs w:val="22"/>
              </w:rPr>
              <w:t xml:space="preserve"> member agencies where possible) in 100% of </w:t>
            </w:r>
            <w:proofErr w:type="spellStart"/>
            <w:r>
              <w:rPr>
                <w:sz w:val="22"/>
                <w:szCs w:val="22"/>
              </w:rPr>
              <w:t>HCTs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ICW</w:t>
            </w:r>
            <w:r>
              <w:rPr>
                <w:sz w:val="22"/>
                <w:szCs w:val="22"/>
              </w:rPr>
              <w:t>Gs</w:t>
            </w:r>
            <w:proofErr w:type="spellEnd"/>
            <w:r>
              <w:rPr>
                <w:sz w:val="22"/>
                <w:szCs w:val="22"/>
              </w:rPr>
              <w:t xml:space="preserve"> of which [AGENCY] is a member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ensure that GBV risk mitigation is incorporated into country-level </w:t>
            </w:r>
            <w:proofErr w:type="spellStart"/>
            <w:r>
              <w:rPr>
                <w:sz w:val="22"/>
                <w:szCs w:val="22"/>
              </w:rPr>
              <w:t>HCT</w:t>
            </w:r>
            <w:proofErr w:type="spellEnd"/>
            <w:r>
              <w:rPr>
                <w:sz w:val="22"/>
                <w:szCs w:val="22"/>
              </w:rPr>
              <w:t xml:space="preserve"> protection strategies.</w:t>
            </w:r>
          </w:p>
          <w:p w:rsidR="00B02888" w:rsidRDefault="00B02888">
            <w:pPr>
              <w:rPr>
                <w:sz w:val="22"/>
                <w:szCs w:val="22"/>
              </w:rPr>
            </w:pPr>
          </w:p>
        </w:tc>
      </w:tr>
    </w:tbl>
    <w:p w:rsidR="00B02888" w:rsidRDefault="00B02888">
      <w:pPr>
        <w:jc w:val="both"/>
        <w:rPr>
          <w:color w:val="000000"/>
          <w:sz w:val="22"/>
          <w:szCs w:val="22"/>
        </w:rPr>
      </w:pPr>
    </w:p>
    <w:p w:rsidR="00B02888" w:rsidRDefault="00B02888">
      <w:pPr>
        <w:rPr>
          <w:color w:val="000000"/>
          <w:sz w:val="22"/>
          <w:szCs w:val="22"/>
        </w:rPr>
      </w:pPr>
    </w:p>
    <w:sectPr w:rsidR="00B028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83" w:rsidRDefault="007A4083">
      <w:r>
        <w:separator/>
      </w:r>
    </w:p>
  </w:endnote>
  <w:endnote w:type="continuationSeparator" w:id="0">
    <w:p w:rsidR="007A4083" w:rsidRDefault="007A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83" w:rsidRDefault="007A4083">
      <w:r>
        <w:separator/>
      </w:r>
    </w:p>
  </w:footnote>
  <w:footnote w:type="continuationSeparator" w:id="0">
    <w:p w:rsidR="007A4083" w:rsidRDefault="007A4083">
      <w:r>
        <w:continuationSeparator/>
      </w:r>
    </w:p>
  </w:footnote>
  <w:footnote w:id="1">
    <w:p w:rsidR="00B02888" w:rsidRDefault="007A40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See the IASC Gender Policy and the IASC Gender Handbook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3B5"/>
    <w:multiLevelType w:val="multilevel"/>
    <w:tmpl w:val="09928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C60B4"/>
    <w:multiLevelType w:val="multilevel"/>
    <w:tmpl w:val="69764D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72B87"/>
    <w:multiLevelType w:val="multilevel"/>
    <w:tmpl w:val="267E3B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4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1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B567E"/>
    <w:multiLevelType w:val="multilevel"/>
    <w:tmpl w:val="AC5CE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DA0200"/>
    <w:multiLevelType w:val="multilevel"/>
    <w:tmpl w:val="CC7C5F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E8305C"/>
    <w:multiLevelType w:val="multilevel"/>
    <w:tmpl w:val="D89C7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C07921"/>
    <w:multiLevelType w:val="multilevel"/>
    <w:tmpl w:val="88129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917D0D"/>
    <w:multiLevelType w:val="multilevel"/>
    <w:tmpl w:val="7408D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5D0563"/>
    <w:multiLevelType w:val="multilevel"/>
    <w:tmpl w:val="D12E8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D12004"/>
    <w:multiLevelType w:val="multilevel"/>
    <w:tmpl w:val="F7CCE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B81F8C"/>
    <w:multiLevelType w:val="multilevel"/>
    <w:tmpl w:val="E8324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CB72C3"/>
    <w:multiLevelType w:val="multilevel"/>
    <w:tmpl w:val="0D442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C833E3"/>
    <w:multiLevelType w:val="multilevel"/>
    <w:tmpl w:val="AA7A8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226632"/>
    <w:multiLevelType w:val="multilevel"/>
    <w:tmpl w:val="AE8804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88"/>
    <w:rsid w:val="00250D21"/>
    <w:rsid w:val="007A4083"/>
    <w:rsid w:val="00B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C47CF"/>
  <w15:docId w15:val="{C6D352F6-B321-4B40-B7EC-B430407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References,Paragraphe de liste,normal,List Paragraph1,Normal1,Normal2,Normal3,Normal4,Normal5,Normal6,Normal7,Recommendatio,Párrafo de lista,Recommendation,OBC Bullet,Dot pt,F5 List Paragraph,No Spacing1,List Paragraph Char Char Char,L,列出"/>
    <w:basedOn w:val="Normal"/>
    <w:link w:val="ListParagraphChar"/>
    <w:uiPriority w:val="34"/>
    <w:qFormat/>
    <w:rsid w:val="00EA0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D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84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D84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D8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0D84"/>
    <w:rPr>
      <w:vertAlign w:val="superscript"/>
    </w:rPr>
  </w:style>
  <w:style w:type="character" w:customStyle="1" w:styleId="ListParagraphChar">
    <w:name w:val="List Paragraph Char"/>
    <w:aliases w:val="References Char,Paragraphe de liste Char,normal Char,List Paragraph1 Char,Normal1 Char,Normal2 Char,Normal3 Char,Normal4 Char,Normal5 Char,Normal6 Char,Normal7 Char,Recommendatio Char,Párrafo de lista Char,Recommendation Char,L Char"/>
    <w:basedOn w:val="DefaultParagraphFont"/>
    <w:link w:val="ListParagraph"/>
    <w:uiPriority w:val="34"/>
    <w:locked/>
    <w:rsid w:val="00EA0D84"/>
  </w:style>
  <w:style w:type="character" w:styleId="CommentReference">
    <w:name w:val="annotation reference"/>
    <w:basedOn w:val="DefaultParagraphFont"/>
    <w:uiPriority w:val="99"/>
    <w:semiHidden/>
    <w:unhideWhenUsed/>
    <w:rsid w:val="004A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50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ltoactiongbv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bvguidelines.org/en/pocketgui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bvguideline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bvguidelines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v.guidelin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haGIS7dgyrDGTma8JdtkRXHNA==">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2154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Patrick</dc:creator>
  <cp:lastModifiedBy>Erin Patrick</cp:lastModifiedBy>
  <cp:revision>2</cp:revision>
  <dcterms:created xsi:type="dcterms:W3CDTF">2020-09-02T18:24:00Z</dcterms:created>
  <dcterms:modified xsi:type="dcterms:W3CDTF">2020-09-02T18:24:00Z</dcterms:modified>
</cp:coreProperties>
</file>